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b/>
          <w:bCs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w:t xml:space="preserve">Всепогодность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rPr>
          <w:rFonts w:ascii="Open Sans" w:hAnsi="Open Sans" w:cs="Open Sans"/>
          <w:sz w:val="22"/>
          <w:szCs w:val="22"/>
          <w:highlight w:val="none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Монопанель БЛОКПОСТ "МАТРЁШКА" M Vx 6 имеет степень пылевлагозащиты IP65 и рассчитан на эксплуатацию в любых погодных условиях: под дождем, при высокой влажности или в запыленной среде. Все электронные компоненты и датчики размещены в алюминиевом защитном к</w:t>
      </w:r>
      <w:r>
        <w:rPr>
          <w:rFonts w:ascii="Open Sans" w:hAnsi="Open Sans" w:cs="Open Sans"/>
          <w:sz w:val="22"/>
          <w:szCs w:val="22"/>
          <w:lang w:val="ru-RU"/>
        </w:rPr>
        <w:t xml:space="preserve">орпусе, который имеет влагостойкое масляное уплотнение. Он надежно защищает их от влаги и внешних воздействий, благодаря чему они сохраняют стабильность работы в температурном диапазоне от −20°C до +60°C. Такая конструкция делает металлодетектор пригодным д</w:t>
      </w:r>
      <w:r>
        <w:rPr>
          <w:rFonts w:ascii="Open Sans" w:hAnsi="Open Sans" w:cs="Open Sans"/>
          <w:sz w:val="22"/>
          <w:szCs w:val="22"/>
          <w:lang w:val="ru-RU"/>
        </w:rPr>
        <w:t xml:space="preserve">ля установки как в помещениях, так и на открытом воздухе.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highlight w:val="none"/>
          <w:lang w:val="ru-RU"/>
        </w:rPr>
      </w:r>
    </w:p>
    <w:p>
      <w:p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68180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41721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4309" cy="36818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15.30pt;height:289.9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Open Sans" w:hAnsi="Open Sans" w:cs="Open Sans"/>
          <w:sz w:val="22"/>
          <w:szCs w:val="22"/>
          <w:highlight w:val="none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w:t xml:space="preserve">Габариты монопанели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Индивидуальная упаковка монопанели позволяет защитить устройство при хранении и транспортировке до места назначения. Сохранность оборудования гарантируют двуслойный кар</w:t>
      </w:r>
      <w:r>
        <w:rPr>
          <w:rFonts w:ascii="Open Sans" w:hAnsi="Open Sans" w:cs="Open Sans"/>
          <w:sz w:val="22"/>
          <w:szCs w:val="22"/>
          <w:lang w:val="ru-RU"/>
        </w:rPr>
        <w:t xml:space="preserve">тон коробки и пенопластовые перегородки, расположенные между элементами и упаковкой. Каждая деталь находится в отдельной упаковке. При перевозке на большие расстояния транспортными компаниями возможно изготовление дополнительного силового каркаса из бруса.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4076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40490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4309" cy="34076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5.30pt;height:268.3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40884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80439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4309" cy="3408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15.30pt;height:268.4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w:t xml:space="preserve">Принцип работы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Монопанель БЛОКПОСТ "МАТРЁШКА" M </w:t>
      </w:r>
      <w:r>
        <w:rPr>
          <w:rFonts w:ascii="Open Sans" w:hAnsi="Open Sans" w:cs="Open Sans"/>
          <w:sz w:val="22"/>
          <w:szCs w:val="22"/>
          <w:lang w:val="ru-RU"/>
        </w:rPr>
        <w:t xml:space="preserve">Vx</w:t>
      </w:r>
      <w:r>
        <w:rPr>
          <w:rFonts w:ascii="Open Sans" w:hAnsi="Open Sans" w:cs="Open Sans"/>
          <w:sz w:val="22"/>
          <w:szCs w:val="22"/>
          <w:lang w:val="ru-RU"/>
        </w:rPr>
        <w:t xml:space="preserve"> 6 предназначена для выявления металлических предметов, в том числе запрещённых (оружие, ножи, опасные инструменты), при проходе через зону контроля. Высокочувствительные датчики обеспечивают </w:t>
      </w:r>
      <w:r>
        <w:rPr>
          <w:rFonts w:ascii="Open Sans" w:hAnsi="Open Sans" w:cs="Open Sans"/>
          <w:sz w:val="22"/>
          <w:szCs w:val="22"/>
          <w:lang w:val="ru-RU"/>
        </w:rPr>
        <w:t xml:space="preserve">равномерное покрытие всей зоны сканирования, исключая «слепые» зоны. 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  <w:br/>
      </w:r>
      <w:r>
        <w:rPr>
          <w:rFonts w:ascii="Open Sans" w:hAnsi="Open Sans" w:cs="Open Sans"/>
          <w:b/>
          <w:bCs/>
          <w:sz w:val="22"/>
          <w:szCs w:val="22"/>
          <w:lang w:val="ru-RU"/>
        </w:rPr>
        <w:br/>
      </w:r>
      <w:r>
        <w:rPr>
          <w:rFonts w:ascii="Open Sans" w:hAnsi="Open Sans" w:cs="Open Sans"/>
          <w:sz w:val="22"/>
          <w:szCs w:val="22"/>
          <w:lang w:val="ru-RU"/>
        </w:rPr>
        <w:t xml:space="preserve">Монопанель способна обнаруживать металлические предметы минимальным весом от 10 грамм (магнитные металлы) и от 50 грамм (немагнитные металлы). Это позволяет фиксировать даже небольшие объекты, скрытые в одежде или обуви.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  <w:br/>
      </w:r>
      <w:r>
        <w:rPr>
          <w:rFonts w:ascii="Open Sans" w:hAnsi="Open Sans" w:cs="Open Sans"/>
          <w:b/>
          <w:bCs/>
          <w:sz w:val="22"/>
          <w:szCs w:val="22"/>
          <w:lang w:val="ru-RU"/>
        </w:rPr>
        <w:br/>
      </w:r>
      <w:r>
        <w:rPr>
          <w:rFonts w:ascii="Open Sans" w:hAnsi="Open Sans" w:cs="Open Sans"/>
          <w:sz w:val="22"/>
          <w:szCs w:val="22"/>
          <w:lang w:val="ru-RU"/>
        </w:rPr>
        <w:t xml:space="preserve">При обнаружении металлического предмета система оповещает оператора звуковым и световым сигналом, а также индикаци</w:t>
      </w:r>
      <w:r>
        <w:rPr>
          <w:rFonts w:ascii="Open Sans" w:hAnsi="Open Sans" w:cs="Open Sans"/>
          <w:sz w:val="22"/>
          <w:szCs w:val="22"/>
          <w:lang w:val="ru-RU"/>
        </w:rPr>
        <w:t xml:space="preserve">ей зоны, в которой был найден объект. Настройки чувствительности позволяют адаптировать металлодетектор к условиям эксплуатации, обеспечивая эффективную работу как в местах с высокой проходимостью, так и на объектах с повышенными требованиями безопасности.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1922780"/>
                <wp:effectExtent l="0" t="0" r="2540" b="1270"/>
                <wp:docPr id="4" name="Picture 7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">
                          <a:hlinkClick r:id="rId12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4310" cy="192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15.30pt;height:151.4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w:t xml:space="preserve">Интеграция в систему контроля доступа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Монопанель БЛОКПОСТ "МАТРЁШКА" M </w:t>
      </w:r>
      <w:r>
        <w:rPr>
          <w:rFonts w:ascii="Open Sans" w:hAnsi="Open Sans" w:cs="Open Sans"/>
          <w:sz w:val="22"/>
          <w:szCs w:val="22"/>
          <w:lang w:val="ru-RU"/>
        </w:rPr>
        <w:t xml:space="preserve">Vx</w:t>
      </w:r>
      <w:r>
        <w:rPr>
          <w:rFonts w:ascii="Open Sans" w:hAnsi="Open Sans" w:cs="Open Sans"/>
          <w:sz w:val="22"/>
          <w:szCs w:val="22"/>
          <w:lang w:val="ru-RU"/>
        </w:rPr>
        <w:t xml:space="preserve"> 6 может быть интегрирована в автоматизированную систему контроля доступа (СКУД), что позволяет: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  <w:br/>
      </w:r>
      <w:r>
        <w:rPr>
          <w:rFonts w:ascii="Open Sans" w:hAnsi="Open Sans" w:cs="Open Sans"/>
          <w:b/>
          <w:bCs/>
          <w:sz w:val="22"/>
          <w:szCs w:val="22"/>
          <w:lang w:val="ru-RU"/>
        </w:rPr>
        <w:br/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4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Автоматически блокировать турникеты или шлюзовые кабины при срабатывании детектора.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4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Передавать данные о тревожных событиях в центральную систему безопасности.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4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Работать в связке с камерами видеонаблюдения для автоматической фиксации подозрительных ситуаций.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4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Управлять режимами работы через удалённую систему мониторинга.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1840865"/>
                <wp:effectExtent l="0" t="0" r="2540" b="6985"/>
                <wp:docPr id="5" name="Picture 6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age">
                          <a:hlinkClick r:id="rId14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274310" cy="184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15.30pt;height:144.9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w:t xml:space="preserve">Комплектация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Стандартная комплектация монопанели БЛОКПОСТ "МАТРЁШКА" M </w:t>
      </w:r>
      <w:r>
        <w:rPr>
          <w:rFonts w:ascii="Open Sans" w:hAnsi="Open Sans" w:cs="Open Sans"/>
          <w:sz w:val="22"/>
          <w:szCs w:val="22"/>
          <w:lang w:val="ru-RU"/>
        </w:rPr>
        <w:t xml:space="preserve">Vx</w:t>
      </w:r>
      <w:r>
        <w:rPr>
          <w:rFonts w:ascii="Open Sans" w:hAnsi="Open Sans" w:cs="Open Sans"/>
          <w:sz w:val="22"/>
          <w:szCs w:val="22"/>
          <w:lang w:val="ru-RU"/>
        </w:rPr>
        <w:t xml:space="preserve"> 6 включает: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  <w:br/>
      </w:r>
      <w:r>
        <w:rPr>
          <w:rFonts w:ascii="Open Sans" w:hAnsi="Open Sans" w:cs="Open Sans"/>
          <w:b/>
          <w:bCs/>
          <w:sz w:val="22"/>
          <w:szCs w:val="22"/>
          <w:lang w:val="ru-RU"/>
        </w:rPr>
        <w:br/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5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Монопанель с регулируемыми настройками чувствительности.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5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Блок управления с дисплеем и панелью управления.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5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Комплект креплений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5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Документацию для установки и настройки.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1842135"/>
                <wp:effectExtent l="0" t="0" r="2540" b="5715"/>
                <wp:docPr id="6" name="Picture 5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mage">
                          <a:hlinkClick r:id="rId16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274310" cy="184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15.30pt;height:145.0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w:t xml:space="preserve">Параллельная эксплуатация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Монопанели БЛОКПОСТ МАТРЁШКА могут работать параллельно, что позволяет организовать многопоточный досмотр. Это особенно актуально для объектов с высокой проходимостью, где необходимо минимизировать задержки при входе.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1834515"/>
                <wp:effectExtent l="0" t="0" r="2540" b="0"/>
                <wp:docPr id="7" name="Picture 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">
                          <a:hlinkClick r:id="rId18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74310" cy="183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15.30pt;height:144.4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1840865"/>
                <wp:effectExtent l="0" t="0" r="2540" b="6985"/>
                <wp:docPr id="8" name="Picture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mage">
                          <a:hlinkClick r:id="rId20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274310" cy="184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15.30pt;height:144.9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w:t xml:space="preserve">Количество зон по металлодетекторам серии МАТРЁШКА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В зависимости от требований безопасности и условий эксплуатации можно выбрать модель с разным количеством зон:</w:t>
      </w:r>
      <w:r>
        <w:rPr>
          <w:rFonts w:ascii="Open Sans" w:hAnsi="Open Sans" w:cs="Open Sans"/>
          <w:b/>
          <w:bCs/>
          <w:sz w:val="22"/>
          <w:szCs w:val="22"/>
          <w:lang w:val="ru-RU"/>
        </w:rPr>
        <w:br/>
      </w:r>
      <w:r>
        <w:rPr>
          <w:rFonts w:ascii="Open Sans" w:hAnsi="Open Sans" w:cs="Open Sans"/>
          <w:b/>
          <w:bCs/>
          <w:sz w:val="22"/>
          <w:szCs w:val="22"/>
          <w:lang w:val="ru-RU"/>
        </w:rPr>
        <w:br/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6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9 - 18 зон – базовый уровень защиты, подходящий для объектов с умеренным потоком людей.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6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18 - 33 зон – улучшенная чувствительность и точность локализации.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6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33-48 зон – расширенный контроль с возможностью более точного определения местоположения объекта.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numPr>
          <w:ilvl w:val="0"/>
          <w:numId w:val="6"/>
        </w:num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48-93 зоны – максимальная детализация обнаружения, используемая на стратегически важных объектах.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1842135"/>
                <wp:effectExtent l="0" t="0" r="2540" b="5715"/>
                <wp:docPr id="9" name="Picture 2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image">
                          <a:hlinkClick r:id="rId22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274310" cy="184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15.30pt;height:145.0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b/>
          <w:bCs/>
          <w:sz w:val="22"/>
          <w:szCs w:val="22"/>
          <w:lang w:val="ru-RU"/>
        </w:rPr>
      </w:pPr>
      <w:r>
        <w:rPr>
          <w:rFonts w:ascii="Open Sans" w:hAnsi="Open Sans" w:cs="Open Sans"/>
          <w:b/>
          <w:bCs/>
          <w:sz w:val="22"/>
          <w:szCs w:val="22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710305"/>
                <wp:effectExtent l="0" t="0" r="2540" b="4445"/>
                <wp:docPr id="10" name="Picture 1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image">
                          <a:hlinkClick r:id="rId24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274310" cy="371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15.30pt;height:292.1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  <w:r>
        <w:rPr>
          <w:rFonts w:ascii="Open Sans" w:hAnsi="Open Sans" w:cs="Open Sans"/>
          <w:b/>
          <w:bCs/>
          <w:sz w:val="22"/>
          <w:szCs w:val="22"/>
          <w:lang w:val="ru-RU"/>
        </w:rPr>
      </w:r>
    </w:p>
    <w:p>
      <w:p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Монопанель БЛОКПОСТ "МАТРЁШКА" M </w:t>
      </w:r>
      <w:r>
        <w:rPr>
          <w:rFonts w:ascii="Open Sans" w:hAnsi="Open Sans" w:cs="Open Sans"/>
          <w:sz w:val="22"/>
          <w:szCs w:val="22"/>
          <w:lang w:val="ru-RU"/>
        </w:rPr>
        <w:t xml:space="preserve">Vx</w:t>
      </w:r>
      <w:r>
        <w:rPr>
          <w:rFonts w:ascii="Open Sans" w:hAnsi="Open Sans" w:cs="Open Sans"/>
          <w:sz w:val="22"/>
          <w:szCs w:val="22"/>
          <w:lang w:val="ru-RU"/>
        </w:rPr>
        <w:t xml:space="preserve"> 6 – это надежное решение для защиты общественных и промышленных объектов, обеспечивающее точное обнаружение металлических предметов и комфортный пропускной контроль.</w:t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p>
      <w:pPr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  <w:r>
        <w:rPr>
          <w:rFonts w:ascii="Open Sans" w:hAnsi="Open Sans" w:cs="Open Sans"/>
          <w:sz w:val="22"/>
          <w:szCs w:val="22"/>
          <w:lang w:val="ru-RU"/>
        </w:rPr>
      </w:r>
    </w:p>
    <w:sectPr>
      <w:footnotePr/>
      <w:endnotePr/>
      <w:type w:val="nextPage"/>
      <w:pgSz w:w="11906" w:h="16838" w:orient="portrait"/>
      <w:pgMar w:top="1440" w:right="1800" w:bottom="1440" w:left="180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Open Sans">
    <w:panose1 w:val="020B0606030504020204"/>
  </w:font>
  <w:font w:name="SimSun">
    <w:panose1 w:val="02020603020101020101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ascii="Symbol" w:hAnsi="Symbol" w:cs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left" w:pos="1440" w:leader="none"/>
        </w:tabs>
      </w:pPr>
      <w:rPr>
        <w:rFonts w:hint="default" w:ascii="Symbol" w:hAnsi="Symbol" w:cs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left" w:pos="2160" w:leader="none"/>
        </w:tabs>
      </w:pPr>
      <w:rPr>
        <w:rFonts w:hint="default" w:ascii="Symbol" w:hAnsi="Symbol" w:cs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left" w:pos="2880" w:leader="none"/>
        </w:tabs>
      </w:pPr>
      <w:rPr>
        <w:rFonts w:hint="default" w:ascii="Symbol" w:hAnsi="Symbol" w:cs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left" w:pos="3600" w:leader="none"/>
        </w:tabs>
      </w:pPr>
      <w:rPr>
        <w:rFonts w:hint="default" w:ascii="Symbol" w:hAnsi="Symbol" w:cs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left" w:pos="4320" w:leader="none"/>
        </w:tabs>
      </w:pPr>
      <w:rPr>
        <w:rFonts w:hint="default" w:ascii="Symbol" w:hAnsi="Symbol" w:cs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left" w:pos="5040" w:leader="none"/>
        </w:tabs>
      </w:pPr>
      <w:rPr>
        <w:rFonts w:hint="default" w:ascii="Symbol" w:hAnsi="Symbol" w:cs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left" w:pos="5760" w:leader="none"/>
        </w:tabs>
      </w:pPr>
      <w:rPr>
        <w:rFonts w:hint="default" w:ascii="Symbol" w:hAnsi="Symbol" w:cs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left" w:pos="6480" w:leader="none"/>
        </w:tabs>
      </w:pPr>
      <w:rPr>
        <w:rFonts w:hint="default" w:ascii="Symbol" w:hAnsi="Symbol" w:cs="Symbol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ascii="Symbol" w:hAnsi="Symbol" w:cs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left" w:pos="1440" w:leader="none"/>
        </w:tabs>
      </w:pPr>
      <w:rPr>
        <w:rFonts w:hint="default" w:ascii="Symbol" w:hAnsi="Symbol" w:cs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left" w:pos="2160" w:leader="none"/>
        </w:tabs>
      </w:pPr>
      <w:rPr>
        <w:rFonts w:hint="default" w:ascii="Symbol" w:hAnsi="Symbol" w:cs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left" w:pos="2880" w:leader="none"/>
        </w:tabs>
      </w:pPr>
      <w:rPr>
        <w:rFonts w:hint="default" w:ascii="Symbol" w:hAnsi="Symbol" w:cs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left" w:pos="3600" w:leader="none"/>
        </w:tabs>
      </w:pPr>
      <w:rPr>
        <w:rFonts w:hint="default" w:ascii="Symbol" w:hAnsi="Symbol" w:cs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left" w:pos="4320" w:leader="none"/>
        </w:tabs>
      </w:pPr>
      <w:rPr>
        <w:rFonts w:hint="default" w:ascii="Symbol" w:hAnsi="Symbol" w:cs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left" w:pos="5040" w:leader="none"/>
        </w:tabs>
      </w:pPr>
      <w:rPr>
        <w:rFonts w:hint="default" w:ascii="Symbol" w:hAnsi="Symbol" w:cs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left" w:pos="5760" w:leader="none"/>
        </w:tabs>
      </w:pPr>
      <w:rPr>
        <w:rFonts w:hint="default" w:ascii="Symbol" w:hAnsi="Symbol" w:cs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left" w:pos="6480" w:leader="none"/>
        </w:tabs>
      </w:pPr>
      <w:rPr>
        <w:rFonts w:hint="default" w:ascii="Symbol" w:hAnsi="Symbol" w:cs="Symbol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ascii="Symbol" w:hAnsi="Symbol" w:cs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left" w:pos="1440" w:leader="none"/>
        </w:tabs>
      </w:pPr>
      <w:rPr>
        <w:rFonts w:hint="default" w:ascii="Symbol" w:hAnsi="Symbol" w:cs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left" w:pos="2160" w:leader="none"/>
        </w:tabs>
      </w:pPr>
      <w:rPr>
        <w:rFonts w:hint="default" w:ascii="Symbol" w:hAnsi="Symbol" w:cs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left" w:pos="2880" w:leader="none"/>
        </w:tabs>
      </w:pPr>
      <w:rPr>
        <w:rFonts w:hint="default" w:ascii="Symbol" w:hAnsi="Symbol" w:cs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left" w:pos="3600" w:leader="none"/>
        </w:tabs>
      </w:pPr>
      <w:rPr>
        <w:rFonts w:hint="default" w:ascii="Symbol" w:hAnsi="Symbol" w:cs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left" w:pos="4320" w:leader="none"/>
        </w:tabs>
      </w:pPr>
      <w:rPr>
        <w:rFonts w:hint="default" w:ascii="Symbol" w:hAnsi="Symbol" w:cs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left" w:pos="5040" w:leader="none"/>
        </w:tabs>
      </w:pPr>
      <w:rPr>
        <w:rFonts w:hint="default" w:ascii="Symbol" w:hAnsi="Symbol" w:cs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left" w:pos="5760" w:leader="none"/>
        </w:tabs>
      </w:pPr>
      <w:rPr>
        <w:rFonts w:hint="default" w:ascii="Symbol" w:hAnsi="Symbol" w:cs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left" w:pos="6480" w:leader="none"/>
        </w:tabs>
      </w:pPr>
      <w:rPr>
        <w:rFonts w:hint="default" w:ascii="Symbol" w:hAnsi="Symbol" w:cs="Symbol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6">
    <w:name w:val="Heading 1"/>
    <w:basedOn w:val="844"/>
    <w:next w:val="844"/>
    <w:link w:val="66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7">
    <w:name w:val="Heading 1 Char"/>
    <w:basedOn w:val="845"/>
    <w:link w:val="666"/>
    <w:uiPriority w:val="9"/>
    <w:rPr>
      <w:rFonts w:ascii="Arial" w:hAnsi="Arial" w:eastAsia="Arial" w:cs="Arial"/>
      <w:sz w:val="40"/>
      <w:szCs w:val="40"/>
    </w:rPr>
  </w:style>
  <w:style w:type="paragraph" w:styleId="668">
    <w:name w:val="Heading 2"/>
    <w:basedOn w:val="844"/>
    <w:next w:val="844"/>
    <w:link w:val="66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9">
    <w:name w:val="Heading 2 Char"/>
    <w:basedOn w:val="845"/>
    <w:link w:val="668"/>
    <w:uiPriority w:val="9"/>
    <w:rPr>
      <w:rFonts w:ascii="Arial" w:hAnsi="Arial" w:eastAsia="Arial" w:cs="Arial"/>
      <w:sz w:val="34"/>
    </w:rPr>
  </w:style>
  <w:style w:type="paragraph" w:styleId="670">
    <w:name w:val="Heading 3"/>
    <w:basedOn w:val="844"/>
    <w:next w:val="844"/>
    <w:link w:val="67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1">
    <w:name w:val="Heading 3 Char"/>
    <w:basedOn w:val="845"/>
    <w:link w:val="670"/>
    <w:uiPriority w:val="9"/>
    <w:rPr>
      <w:rFonts w:ascii="Arial" w:hAnsi="Arial" w:eastAsia="Arial" w:cs="Arial"/>
      <w:sz w:val="30"/>
      <w:szCs w:val="30"/>
    </w:rPr>
  </w:style>
  <w:style w:type="paragraph" w:styleId="672">
    <w:name w:val="Heading 4"/>
    <w:basedOn w:val="844"/>
    <w:next w:val="844"/>
    <w:link w:val="67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3">
    <w:name w:val="Heading 4 Char"/>
    <w:basedOn w:val="845"/>
    <w:link w:val="672"/>
    <w:uiPriority w:val="9"/>
    <w:rPr>
      <w:rFonts w:ascii="Arial" w:hAnsi="Arial" w:eastAsia="Arial" w:cs="Arial"/>
      <w:b/>
      <w:bCs/>
      <w:sz w:val="26"/>
      <w:szCs w:val="26"/>
    </w:rPr>
  </w:style>
  <w:style w:type="paragraph" w:styleId="674">
    <w:name w:val="Heading 5"/>
    <w:basedOn w:val="844"/>
    <w:next w:val="844"/>
    <w:link w:val="67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5">
    <w:name w:val="Heading 5 Char"/>
    <w:basedOn w:val="845"/>
    <w:link w:val="674"/>
    <w:uiPriority w:val="9"/>
    <w:rPr>
      <w:rFonts w:ascii="Arial" w:hAnsi="Arial" w:eastAsia="Arial" w:cs="Arial"/>
      <w:b/>
      <w:bCs/>
      <w:sz w:val="24"/>
      <w:szCs w:val="24"/>
    </w:rPr>
  </w:style>
  <w:style w:type="paragraph" w:styleId="676">
    <w:name w:val="Heading 6"/>
    <w:basedOn w:val="844"/>
    <w:next w:val="844"/>
    <w:link w:val="67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7">
    <w:name w:val="Heading 6 Char"/>
    <w:basedOn w:val="845"/>
    <w:link w:val="676"/>
    <w:uiPriority w:val="9"/>
    <w:rPr>
      <w:rFonts w:ascii="Arial" w:hAnsi="Arial" w:eastAsia="Arial" w:cs="Arial"/>
      <w:b/>
      <w:bCs/>
      <w:sz w:val="22"/>
      <w:szCs w:val="22"/>
    </w:rPr>
  </w:style>
  <w:style w:type="paragraph" w:styleId="678">
    <w:name w:val="Heading 7"/>
    <w:basedOn w:val="844"/>
    <w:next w:val="844"/>
    <w:link w:val="67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9">
    <w:name w:val="Heading 7 Char"/>
    <w:basedOn w:val="845"/>
    <w:link w:val="67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0">
    <w:name w:val="Heading 8"/>
    <w:basedOn w:val="844"/>
    <w:next w:val="844"/>
    <w:link w:val="68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1">
    <w:name w:val="Heading 8 Char"/>
    <w:basedOn w:val="845"/>
    <w:link w:val="680"/>
    <w:uiPriority w:val="9"/>
    <w:rPr>
      <w:rFonts w:ascii="Arial" w:hAnsi="Arial" w:eastAsia="Arial" w:cs="Arial"/>
      <w:i/>
      <w:iCs/>
      <w:sz w:val="22"/>
      <w:szCs w:val="22"/>
    </w:rPr>
  </w:style>
  <w:style w:type="paragraph" w:styleId="682">
    <w:name w:val="Heading 9"/>
    <w:basedOn w:val="844"/>
    <w:next w:val="844"/>
    <w:link w:val="68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3">
    <w:name w:val="Heading 9 Char"/>
    <w:basedOn w:val="845"/>
    <w:link w:val="682"/>
    <w:uiPriority w:val="9"/>
    <w:rPr>
      <w:rFonts w:ascii="Arial" w:hAnsi="Arial" w:eastAsia="Arial" w:cs="Arial"/>
      <w:i/>
      <w:iCs/>
      <w:sz w:val="21"/>
      <w:szCs w:val="21"/>
    </w:rPr>
  </w:style>
  <w:style w:type="paragraph" w:styleId="684">
    <w:name w:val="List Paragraph"/>
    <w:basedOn w:val="844"/>
    <w:uiPriority w:val="34"/>
    <w:qFormat/>
    <w:pPr>
      <w:contextualSpacing/>
      <w:ind w:left="720"/>
    </w:pPr>
  </w:style>
  <w:style w:type="paragraph" w:styleId="685">
    <w:name w:val="No Spacing"/>
    <w:uiPriority w:val="1"/>
    <w:qFormat/>
    <w:pPr>
      <w:spacing w:before="0" w:after="0" w:line="240" w:lineRule="auto"/>
    </w:pPr>
  </w:style>
  <w:style w:type="paragraph" w:styleId="686">
    <w:name w:val="Title"/>
    <w:basedOn w:val="844"/>
    <w:next w:val="844"/>
    <w:link w:val="68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7">
    <w:name w:val="Title Char"/>
    <w:basedOn w:val="845"/>
    <w:link w:val="686"/>
    <w:uiPriority w:val="10"/>
    <w:rPr>
      <w:sz w:val="48"/>
      <w:szCs w:val="48"/>
    </w:rPr>
  </w:style>
  <w:style w:type="paragraph" w:styleId="688">
    <w:name w:val="Subtitle"/>
    <w:basedOn w:val="844"/>
    <w:next w:val="844"/>
    <w:link w:val="689"/>
    <w:uiPriority w:val="11"/>
    <w:qFormat/>
    <w:pPr>
      <w:spacing w:before="200" w:after="200"/>
    </w:pPr>
    <w:rPr>
      <w:sz w:val="24"/>
      <w:szCs w:val="24"/>
    </w:rPr>
  </w:style>
  <w:style w:type="character" w:styleId="689">
    <w:name w:val="Subtitle Char"/>
    <w:basedOn w:val="845"/>
    <w:link w:val="688"/>
    <w:uiPriority w:val="11"/>
    <w:rPr>
      <w:sz w:val="24"/>
      <w:szCs w:val="24"/>
    </w:rPr>
  </w:style>
  <w:style w:type="paragraph" w:styleId="690">
    <w:name w:val="Quote"/>
    <w:basedOn w:val="844"/>
    <w:next w:val="844"/>
    <w:link w:val="691"/>
    <w:uiPriority w:val="29"/>
    <w:qFormat/>
    <w:pPr>
      <w:ind w:left="720" w:right="720"/>
    </w:pPr>
    <w:rPr>
      <w:i/>
    </w:rPr>
  </w:style>
  <w:style w:type="character" w:styleId="691">
    <w:name w:val="Quote Char"/>
    <w:link w:val="690"/>
    <w:uiPriority w:val="29"/>
    <w:rPr>
      <w:i/>
    </w:rPr>
  </w:style>
  <w:style w:type="paragraph" w:styleId="692">
    <w:name w:val="Intense Quote"/>
    <w:basedOn w:val="844"/>
    <w:next w:val="844"/>
    <w:link w:val="69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3">
    <w:name w:val="Intense Quote Char"/>
    <w:link w:val="692"/>
    <w:uiPriority w:val="30"/>
    <w:rPr>
      <w:i/>
    </w:rPr>
  </w:style>
  <w:style w:type="paragraph" w:styleId="694">
    <w:name w:val="Header"/>
    <w:basedOn w:val="844"/>
    <w:link w:val="69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5">
    <w:name w:val="Header Char"/>
    <w:basedOn w:val="845"/>
    <w:link w:val="694"/>
    <w:uiPriority w:val="99"/>
  </w:style>
  <w:style w:type="paragraph" w:styleId="696">
    <w:name w:val="Footer"/>
    <w:basedOn w:val="844"/>
    <w:link w:val="69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7">
    <w:name w:val="Footer Char"/>
    <w:basedOn w:val="845"/>
    <w:link w:val="696"/>
    <w:uiPriority w:val="99"/>
  </w:style>
  <w:style w:type="paragraph" w:styleId="698">
    <w:name w:val="Caption"/>
    <w:basedOn w:val="844"/>
    <w:next w:val="844"/>
    <w:link w:val="6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9">
    <w:name w:val="Caption Char"/>
    <w:basedOn w:val="845"/>
    <w:link w:val="698"/>
    <w:uiPriority w:val="35"/>
    <w:rPr>
      <w:b/>
      <w:bCs/>
      <w:color w:val="4f81bd" w:themeColor="accent1"/>
      <w:sz w:val="18"/>
      <w:szCs w:val="18"/>
    </w:rPr>
  </w:style>
  <w:style w:type="table" w:styleId="700">
    <w:name w:val="Table Grid"/>
    <w:basedOn w:val="84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1">
    <w:name w:val="Table Grid Light"/>
    <w:basedOn w:val="8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2">
    <w:name w:val="Plain Table 1"/>
    <w:basedOn w:val="8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3">
    <w:name w:val="Plain Table 2"/>
    <w:basedOn w:val="8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4">
    <w:name w:val="Plain Table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5">
    <w:name w:val="Plain Table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Plain Table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7">
    <w:name w:val="Grid Table 1 Light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4"/>
    <w:basedOn w:val="8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9">
    <w:name w:val="Grid Table 4 - Accent 1"/>
    <w:basedOn w:val="8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0">
    <w:name w:val="Grid Table 4 - Accent 2"/>
    <w:basedOn w:val="8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1">
    <w:name w:val="Grid Table 4 - Accent 3"/>
    <w:basedOn w:val="8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2">
    <w:name w:val="Grid Table 4 - Accent 4"/>
    <w:basedOn w:val="8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3">
    <w:name w:val="Grid Table 4 - Accent 5"/>
    <w:basedOn w:val="8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4">
    <w:name w:val="Grid Table 4 - Accent 6"/>
    <w:basedOn w:val="8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5">
    <w:name w:val="Grid Table 5 Dark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6">
    <w:name w:val="Grid Table 5 Dark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8">
    <w:name w:val="Grid Table 5 Dark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9">
    <w:name w:val="Grid Table 5 Dark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2">
    <w:name w:val="Grid Table 6 Colorful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3">
    <w:name w:val="Grid Table 6 Colorful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4">
    <w:name w:val="Grid Table 6 Colorful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5">
    <w:name w:val="Grid Table 6 Colorful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6">
    <w:name w:val="Grid Table 6 Colorful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7">
    <w:name w:val="Grid Table 6 Colorful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8">
    <w:name w:val="Grid Table 6 Colorful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9">
    <w:name w:val="Grid Table 7 Colorful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4">
    <w:name w:val="List Table 2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5">
    <w:name w:val="List Table 2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6">
    <w:name w:val="List Table 2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7">
    <w:name w:val="List Table 2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8">
    <w:name w:val="List Table 2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9">
    <w:name w:val="List Table 2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0">
    <w:name w:val="List Table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5 Dark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6 Colorful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2">
    <w:name w:val="List Table 6 Colorful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3">
    <w:name w:val="List Table 6 Colorful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4">
    <w:name w:val="List Table 6 Colorful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5">
    <w:name w:val="List Table 6 Colorful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6">
    <w:name w:val="List Table 6 Colorful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7">
    <w:name w:val="List Table 6 Colorful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8">
    <w:name w:val="List Table 7 Colorful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9">
    <w:name w:val="List Table 7 Colorful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00">
    <w:name w:val="List Table 7 Colorful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1">
    <w:name w:val="List Table 7 Colorful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2">
    <w:name w:val="List Table 7 Colorful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3">
    <w:name w:val="List Table 7 Colorful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4">
    <w:name w:val="List Table 7 Colorful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5">
    <w:name w:val="Lined - Accent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6">
    <w:name w:val="Lined - Accent 1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7">
    <w:name w:val="Lined - Accent 2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8">
    <w:name w:val="Lined - Accent 3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9">
    <w:name w:val="Lined - Accent 4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0">
    <w:name w:val="Lined - Accent 5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1">
    <w:name w:val="Lined - Accent 6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2">
    <w:name w:val="Bordered &amp; Lined - Accent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3">
    <w:name w:val="Bordered &amp; Lined - Accent 1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4">
    <w:name w:val="Bordered &amp; Lined - Accent 2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5">
    <w:name w:val="Bordered &amp; Lined - Accent 3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6">
    <w:name w:val="Bordered &amp; Lined - Accent 4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7">
    <w:name w:val="Bordered &amp; Lined - Accent 5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8">
    <w:name w:val="Bordered &amp; Lined - Accent 6"/>
    <w:basedOn w:val="8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9">
    <w:name w:val="Bordered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0">
    <w:name w:val="Bordered - Accent 1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1">
    <w:name w:val="Bordered - Accent 2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2">
    <w:name w:val="Bordered - Accent 3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3">
    <w:name w:val="Bordered - Accent 4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4">
    <w:name w:val="Bordered - Accent 5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5">
    <w:name w:val="Bordered - Accent 6"/>
    <w:basedOn w:val="8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6">
    <w:name w:val="Hyperlink"/>
    <w:uiPriority w:val="99"/>
    <w:unhideWhenUsed/>
    <w:rPr>
      <w:color w:val="0000ff" w:themeColor="hyperlink"/>
      <w:u w:val="single"/>
    </w:rPr>
  </w:style>
  <w:style w:type="paragraph" w:styleId="827">
    <w:name w:val="footnote text"/>
    <w:basedOn w:val="844"/>
    <w:link w:val="828"/>
    <w:uiPriority w:val="99"/>
    <w:semiHidden/>
    <w:unhideWhenUsed/>
    <w:pPr>
      <w:spacing w:after="40" w:line="240" w:lineRule="auto"/>
    </w:pPr>
    <w:rPr>
      <w:sz w:val="18"/>
    </w:rPr>
  </w:style>
  <w:style w:type="character" w:styleId="828">
    <w:name w:val="Footnote Text Char"/>
    <w:link w:val="827"/>
    <w:uiPriority w:val="99"/>
    <w:rPr>
      <w:sz w:val="18"/>
    </w:rPr>
  </w:style>
  <w:style w:type="character" w:styleId="829">
    <w:name w:val="footnote reference"/>
    <w:basedOn w:val="845"/>
    <w:uiPriority w:val="99"/>
    <w:unhideWhenUsed/>
    <w:rPr>
      <w:vertAlign w:val="superscript"/>
    </w:rPr>
  </w:style>
  <w:style w:type="paragraph" w:styleId="830">
    <w:name w:val="endnote text"/>
    <w:basedOn w:val="844"/>
    <w:link w:val="831"/>
    <w:uiPriority w:val="99"/>
    <w:semiHidden/>
    <w:unhideWhenUsed/>
    <w:pPr>
      <w:spacing w:after="0" w:line="240" w:lineRule="auto"/>
    </w:pPr>
    <w:rPr>
      <w:sz w:val="20"/>
    </w:rPr>
  </w:style>
  <w:style w:type="character" w:styleId="831">
    <w:name w:val="Endnote Text Char"/>
    <w:link w:val="830"/>
    <w:uiPriority w:val="99"/>
    <w:rPr>
      <w:sz w:val="20"/>
    </w:rPr>
  </w:style>
  <w:style w:type="character" w:styleId="832">
    <w:name w:val="endnote reference"/>
    <w:basedOn w:val="845"/>
    <w:uiPriority w:val="99"/>
    <w:semiHidden/>
    <w:unhideWhenUsed/>
    <w:rPr>
      <w:vertAlign w:val="superscript"/>
    </w:rPr>
  </w:style>
  <w:style w:type="paragraph" w:styleId="833">
    <w:name w:val="toc 1"/>
    <w:basedOn w:val="844"/>
    <w:next w:val="844"/>
    <w:uiPriority w:val="39"/>
    <w:unhideWhenUsed/>
    <w:pPr>
      <w:ind w:left="0" w:right="0" w:firstLine="0"/>
      <w:spacing w:after="57"/>
    </w:pPr>
  </w:style>
  <w:style w:type="paragraph" w:styleId="834">
    <w:name w:val="toc 2"/>
    <w:basedOn w:val="844"/>
    <w:next w:val="844"/>
    <w:uiPriority w:val="39"/>
    <w:unhideWhenUsed/>
    <w:pPr>
      <w:ind w:left="283" w:right="0" w:firstLine="0"/>
      <w:spacing w:after="57"/>
    </w:pPr>
  </w:style>
  <w:style w:type="paragraph" w:styleId="835">
    <w:name w:val="toc 3"/>
    <w:basedOn w:val="844"/>
    <w:next w:val="844"/>
    <w:uiPriority w:val="39"/>
    <w:unhideWhenUsed/>
    <w:pPr>
      <w:ind w:left="567" w:right="0" w:firstLine="0"/>
      <w:spacing w:after="57"/>
    </w:pPr>
  </w:style>
  <w:style w:type="paragraph" w:styleId="836">
    <w:name w:val="toc 4"/>
    <w:basedOn w:val="844"/>
    <w:next w:val="844"/>
    <w:uiPriority w:val="39"/>
    <w:unhideWhenUsed/>
    <w:pPr>
      <w:ind w:left="850" w:right="0" w:firstLine="0"/>
      <w:spacing w:after="57"/>
    </w:pPr>
  </w:style>
  <w:style w:type="paragraph" w:styleId="837">
    <w:name w:val="toc 5"/>
    <w:basedOn w:val="844"/>
    <w:next w:val="844"/>
    <w:uiPriority w:val="39"/>
    <w:unhideWhenUsed/>
    <w:pPr>
      <w:ind w:left="1134" w:right="0" w:firstLine="0"/>
      <w:spacing w:after="57"/>
    </w:pPr>
  </w:style>
  <w:style w:type="paragraph" w:styleId="838">
    <w:name w:val="toc 6"/>
    <w:basedOn w:val="844"/>
    <w:next w:val="844"/>
    <w:uiPriority w:val="39"/>
    <w:unhideWhenUsed/>
    <w:pPr>
      <w:ind w:left="1417" w:right="0" w:firstLine="0"/>
      <w:spacing w:after="57"/>
    </w:pPr>
  </w:style>
  <w:style w:type="paragraph" w:styleId="839">
    <w:name w:val="toc 7"/>
    <w:basedOn w:val="844"/>
    <w:next w:val="844"/>
    <w:uiPriority w:val="39"/>
    <w:unhideWhenUsed/>
    <w:pPr>
      <w:ind w:left="1701" w:right="0" w:firstLine="0"/>
      <w:spacing w:after="57"/>
    </w:pPr>
  </w:style>
  <w:style w:type="paragraph" w:styleId="840">
    <w:name w:val="toc 8"/>
    <w:basedOn w:val="844"/>
    <w:next w:val="844"/>
    <w:uiPriority w:val="39"/>
    <w:unhideWhenUsed/>
    <w:pPr>
      <w:ind w:left="1984" w:right="0" w:firstLine="0"/>
      <w:spacing w:after="57"/>
    </w:pPr>
  </w:style>
  <w:style w:type="paragraph" w:styleId="841">
    <w:name w:val="toc 9"/>
    <w:basedOn w:val="844"/>
    <w:next w:val="844"/>
    <w:uiPriority w:val="39"/>
    <w:unhideWhenUsed/>
    <w:pPr>
      <w:ind w:left="2268" w:right="0" w:firstLine="0"/>
      <w:spacing w:after="57"/>
    </w:pPr>
  </w:style>
  <w:style w:type="paragraph" w:styleId="842">
    <w:name w:val="TOC Heading"/>
    <w:uiPriority w:val="39"/>
    <w:unhideWhenUsed/>
  </w:style>
  <w:style w:type="paragraph" w:styleId="843">
    <w:name w:val="table of figures"/>
    <w:basedOn w:val="844"/>
    <w:next w:val="844"/>
    <w:uiPriority w:val="99"/>
    <w:unhideWhenUsed/>
    <w:pPr>
      <w:spacing w:after="0" w:afterAutospacing="0"/>
    </w:pPr>
  </w:style>
  <w:style w:type="paragraph" w:styleId="844" w:default="1">
    <w:name w:val="Normal"/>
    <w:qFormat/>
    <w:rPr>
      <w:rFonts w:asciiTheme="minorHAnsi" w:hAnsiTheme="minorHAnsi" w:eastAsiaTheme="minorEastAsia" w:cstheme="minorBidi"/>
      <w:lang w:val="en-US" w:eastAsia="zh-CN"/>
    </w:rPr>
  </w:style>
  <w:style w:type="character" w:styleId="845" w:default="1">
    <w:name w:val="Default Paragraph Font"/>
    <w:uiPriority w:val="1"/>
    <w:unhideWhenUsed/>
  </w:style>
  <w:style w:type="table" w:styleId="84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7" w:default="1">
    <w:name w:val="No List"/>
    <w:uiPriority w:val="99"/>
    <w:semiHidden/>
    <w:unhideWhenUsed/>
  </w:style>
  <w:style w:type="paragraph" w:styleId="848">
    <w:name w:val="Normal (Web)"/>
    <w:basedOn w:val="844"/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hyperlink" Target="https://detektor-rf.ru/upload/grain.tables/ccb/6oz1skhtylm2xl6oautk3tb0sovo5l49.jpg" TargetMode="External"/><Relationship Id="rId13" Type="http://schemas.openxmlformats.org/officeDocument/2006/relationships/image" Target="media/image4.jpg"/><Relationship Id="rId14" Type="http://schemas.openxmlformats.org/officeDocument/2006/relationships/hyperlink" Target="https://detektor-rf.ru/upload/grain.tables/7d1/3pjbzo4llebxuupcfjr3ry3y881tmrax.jpg" TargetMode="External"/><Relationship Id="rId15" Type="http://schemas.openxmlformats.org/officeDocument/2006/relationships/image" Target="media/image5.jpg"/><Relationship Id="rId16" Type="http://schemas.openxmlformats.org/officeDocument/2006/relationships/hyperlink" Target="https://detektor-rf.ru/upload/grain.tables/9a0/bk393k7qcrj49ovhokz043avtbd8eqct.jpg" TargetMode="External"/><Relationship Id="rId17" Type="http://schemas.openxmlformats.org/officeDocument/2006/relationships/image" Target="media/image6.jpg"/><Relationship Id="rId18" Type="http://schemas.openxmlformats.org/officeDocument/2006/relationships/hyperlink" Target="https://detektor-rf.ru/upload/grain.tables/d94/pmhgkwavnhyhzk5hwg8en9acd1b1jfoi.jpg" TargetMode="External"/><Relationship Id="rId19" Type="http://schemas.openxmlformats.org/officeDocument/2006/relationships/image" Target="media/image7.jpg"/><Relationship Id="rId20" Type="http://schemas.openxmlformats.org/officeDocument/2006/relationships/hyperlink" Target="https://detektor-rf.ru/upload/grain.tables/c07/3ynr2ypivt5cl64imn7w9ycwm8l0trbw.jpg" TargetMode="External"/><Relationship Id="rId21" Type="http://schemas.openxmlformats.org/officeDocument/2006/relationships/image" Target="media/image8.jpg"/><Relationship Id="rId22" Type="http://schemas.openxmlformats.org/officeDocument/2006/relationships/hyperlink" Target="https://detektor-rf.ru/upload/grain.tables/94f/hcrstsd42tw5mzn7rig7he1nrmpk9zey.jpg" TargetMode="External"/><Relationship Id="rId23" Type="http://schemas.openxmlformats.org/officeDocument/2006/relationships/image" Target="media/image9.jpg"/><Relationship Id="rId24" Type="http://schemas.openxmlformats.org/officeDocument/2006/relationships/hyperlink" Target="https://detektor-rf.ru/upload/grain.tables/6ab/ddli0ngcayvsr51qm4kcgeorevsg3303.jpg" TargetMode="External"/><Relationship Id="rId25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nvlun</dc:creator>
  <cp:lastModifiedBy>Дарья Замотина</cp:lastModifiedBy>
  <cp:revision>5</cp:revision>
  <dcterms:created xsi:type="dcterms:W3CDTF">2025-05-14T06:25:00Z</dcterms:created>
  <dcterms:modified xsi:type="dcterms:W3CDTF">2025-12-15T13:07:02Z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1049-12.2.0.20796</vt:lpwstr>
  </property>
  <property fmtid="{D5CDD505-2E9C-101B-9397-08002B2CF9AE}" pid="3" name="ICV">
    <vt:lpwstr>ABAEBEED920A4C6781C5F11C02BF6BF2_11</vt:lpwstr>
  </property>
</Properties>
</file>