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Распашные турникеты предназначены для организации проходных с повышенными требованиями к дизайну и комфортабельности прохода. СДВ 500 достаточно компактная модель с высокой проходимостью, которая подойдет для </w:t>
      </w:r>
      <w:r>
        <w:rPr>
          <w:rFonts w:ascii="Open Sans" w:hAnsi="Open Sans" w:cs="Open Sans"/>
          <w:color w:val="333333"/>
          <w:sz w:val="21"/>
          <w:szCs w:val="21"/>
        </w:rPr>
        <w:t xml:space="preserve">применения в интенсивных условиях эксплуатации. Турникет СДВ 500 —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освобождает проход в экстренных случаях или при сбое электропитания,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Конструкция турникета предполагает подключение к оборудованию другого назначения: арочные </w:t>
      </w:r>
      <w:r>
        <w:rPr>
          <w:rFonts w:ascii="Open Sans" w:hAnsi="Open Sans" w:cs="Open Sans"/>
          <w:color w:val="333333"/>
          <w:sz w:val="21"/>
          <w:szCs w:val="21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</w:rPr>
        <w:t xml:space="preserve">, монопанели с односторонним или двусторонним детектированием, пожарная система безопасности и др. При подключении исполнительного устройства к стороннему оборудованию других производителей обеспечивается корректная работа всей пропускной системы.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Работу проходной можно дополнить всевозможными модулями СКУД: биометрическими идентификаторами, сканерами, считывателями,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картоприемниками</w:t>
      </w:r>
      <w:r>
        <w:rPr>
          <w:rFonts w:ascii="Open Sans" w:hAnsi="Open Sans" w:cs="Open Sans"/>
          <w:color w:val="333333"/>
          <w:sz w:val="21"/>
          <w:szCs w:val="21"/>
        </w:rPr>
        <w:t xml:space="preserve"> и пр.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jc w:val="center"/>
        <w:spacing w:before="300"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36"/>
          <w:szCs w:val="36"/>
          <w:lang w:eastAsia="ru-RU"/>
        </w:rPr>
        <w:outlineLvl w:val="2"/>
      </w:pPr>
      <w:r>
        <w:rPr>
          <w:rFonts w:ascii="Open Sans" w:hAnsi="Open Sans" w:eastAsia="Times New Roman" w:cs="Open Sans"/>
          <w:color w:val="333333"/>
          <w:sz w:val="36"/>
          <w:szCs w:val="36"/>
          <w:lang w:eastAsia="ru-RU"/>
        </w:rPr>
        <w:t xml:space="preserve">Габариты и эксплуатация турникета</w:t>
      </w:r>
      <w:r>
        <w:rPr>
          <w:rFonts w:ascii="Open Sans" w:hAnsi="Open Sans" w:eastAsia="Times New Roman" w:cs="Open Sans"/>
          <w:color w:val="333333"/>
          <w:sz w:val="36"/>
          <w:szCs w:val="36"/>
          <w:lang w:eastAsia="ru-RU"/>
        </w:rPr>
      </w:r>
    </w:p>
    <w:p>
      <w:pPr>
        <w:jc w:val="both"/>
        <w:spacing w:after="30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Распашной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СДВ 500 предназначен для использования внутри помещения. Также его можно использовать на улице, создав условия непрямого воздействия атмосфе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рных осадков и при рекомендуемой температуре воздуха от -28 до +60°С. Турникет изготовлен из нержавеющей стали AISI 304. При использовании СДВ 500 следует располагать параллельно друг другу в один ряд. Расстояние между тумбами турникета составляет 1050 мм.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оборудования возможна благодаря реле для управления устройствами («Сухие контакты»). К исполнительному устройству можно подключить стороннее оборудование: </w:t>
      </w:r>
      <w:r>
        <w:rPr>
          <w:rFonts w:ascii="Open Sans" w:hAnsi="Open Sans" w:cs="Open Sans"/>
          <w:color w:val="333333"/>
          <w:sz w:val="21"/>
          <w:szCs w:val="21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</w:rPr>
        <w:t xml:space="preserve">, пожарная систем</w:t>
      </w:r>
      <w:r>
        <w:rPr>
          <w:rFonts w:ascii="Open Sans" w:hAnsi="Open Sans" w:cs="Open Sans"/>
          <w:color w:val="333333"/>
          <w:sz w:val="21"/>
          <w:szCs w:val="21"/>
        </w:rPr>
        <w:t xml:space="preserve">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налаженной работе всего оборудования. В случаях проноса запрещенного предмета на охраня</w:t>
      </w:r>
      <w:r>
        <w:rPr>
          <w:rFonts w:ascii="Open Sans" w:hAnsi="Open Sans" w:cs="Open Sans"/>
          <w:color w:val="333333"/>
          <w:sz w:val="21"/>
          <w:szCs w:val="21"/>
        </w:rPr>
        <w:t xml:space="preserve">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</w:t>
      </w:r>
      <w:r>
        <w:rPr>
          <w:rFonts w:ascii="Open Sans" w:hAnsi="Open Sans" w:cs="Open Sans"/>
          <w:color w:val="333333"/>
          <w:sz w:val="21"/>
          <w:szCs w:val="21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</w:rPr>
        <w:t xml:space="preserve">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Базовая комплектация распашного турникета СДВ 500 включает в себя два электронных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картосчитывателя</w:t>
      </w:r>
      <w:r>
        <w:rPr>
          <w:rFonts w:ascii="Open Sans" w:hAnsi="Open Sans" w:cs="Open Sans"/>
          <w:color w:val="333333"/>
          <w:sz w:val="21"/>
          <w:szCs w:val="21"/>
        </w:rPr>
        <w:t xml:space="preserve">. Турникет СДВ 500 можно дополнить устройствами идентификации: биометрические СКУД, </w:t>
      </w:r>
      <w:r>
        <w:rPr>
          <w:rFonts w:ascii="Open Sans" w:hAnsi="Open Sans" w:cs="Open Sans"/>
          <w:color w:val="333333"/>
          <w:sz w:val="21"/>
          <w:szCs w:val="21"/>
        </w:rPr>
        <w:t xml:space="preserve">картоприёмники</w:t>
      </w:r>
      <w:r>
        <w:rPr>
          <w:rFonts w:ascii="Open Sans" w:hAnsi="Open Sans" w:cs="Open Sans"/>
          <w:color w:val="333333"/>
          <w:sz w:val="21"/>
          <w:szCs w:val="21"/>
        </w:rPr>
        <w:t xml:space="preserve">, сканеры штрих-кода и пр.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2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Деревянная упаковка турникета имеет надежные крепления. Она предохраняет устройство от различных повреждений, а также от прямого воздействия атмосферных осадков. Перевозку турник</w:t>
      </w:r>
      <w:r>
        <w:rPr>
          <w:rFonts w:ascii="Open Sans" w:hAnsi="Open Sans" w:cs="Open Sans"/>
          <w:color w:val="333333"/>
          <w:sz w:val="21"/>
          <w:szCs w:val="21"/>
        </w:rPr>
        <w:t xml:space="preserve">етов можно осуществлять в гермокабинах самолетов, автомобильным и железнодорожным транспортом. Согласно правилам перевозки, хранения и эксплуатации грузов следует предохранить оборудование от прямого воздействия влаги, пыли и различных атмосферных осадков.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1480х260х1000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Габариты упаковки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1640х380х1110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нетто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57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брутто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81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1040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Интерфейс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Сухой контакт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490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25-40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0.6 (регулируется)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Место установки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Внутри помещения или снаружи (под навесом)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Электромагнитный привод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Средняя наработка на отказ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≥ 2 000 000 проходов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Способ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При отключении электричества/при аварийной сигнализации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EM-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80%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Диапазон рабочих температур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от -28 до +60 °C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Тип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3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3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3</cp:revision>
  <dcterms:created xsi:type="dcterms:W3CDTF">2021-02-02T13:32:00Z</dcterms:created>
  <dcterms:modified xsi:type="dcterms:W3CDTF">2025-09-04T06:20:44Z</dcterms:modified>
</cp:coreProperties>
</file>