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 серии ИМПУЛЬС функционируют на основе технологии многозонного сканирова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 сигнализируется оператору.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Принцип работы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 серии ИМПУЛЬС функционируют на основе технологии многозонного сканирова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 сигнализируется оператору.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9315"/>
                <wp:effectExtent l="0" t="0" r="3175" b="0"/>
                <wp:docPr id="1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168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Интеграция в систему контроля доступа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 се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рии ИМПУЛЬС легко интегрируются в существующие системы контроля доступа. Они оснащены интерфейсами для подключения к внешним устройствам, таким как турникеты, шлюзовые кабины и системы видеонаблюдения, обеспечивая комплексный подход к безопасности объекта.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5180"/>
                <wp:effectExtent l="0" t="0" r="3175" b="1270"/>
                <wp:docPr id="2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163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Комплектация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Стандартная комплектация арочного металлодетектора серии ИМПУЛЬС включает: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Две антенные панели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Блок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Перекладину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Кабели подключения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Крепежные элементы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дистанционного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1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Инструкцию по эксплуатации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2645"/>
                <wp:effectExtent l="0" t="0" r="3175" b="1905"/>
                <wp:docPr id="3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6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Рекомендованная схема расстановки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Для оптимальной работы рекомендуется устанавливать металлодетекторы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серии ИМПУЛЬС на расстоянии не менее 50 см от металлических конструкций и других источников электромагнитных помех. При параллельной установке нескольких устройств минимальное расстояние между ними должно составлять 50 см для предотвращения взаимных помех.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Параллельная эксплуатация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кторы серии ИМПУЛЬС поддерживают синхронную работу до 20 устройств одновременно. Это достигается благодаря возможности настройки различных рабочих частот, что исключает взаимное влияние и обеспечивает стабильную работу каждого устройства в составе системы.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5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Комбинация зон обнаружения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 зависимости от модели, металлодетекторы серии ИМПУЛЬС оснащены различным количеством зон обнаружения: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2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РС 600МК ИМПУЛЬС: 6 зон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2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РС 3300М ИМПУЛЬС: 33 зоны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numPr>
          <w:ilvl w:val="0"/>
          <w:numId w:val="2"/>
        </w:num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РС 6300МК ИМПУЛЬС: 63 зоны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  <w:t xml:space="preserve">Многозонная технология позволяет точно определить расположение металлического объекта по высоте и ширине прохода, что ускоряет процесс досмотра и повышает эффективность безопасности.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80840"/>
                <wp:effectExtent l="0" t="0" r="3175" b="0"/>
                <wp:docPr id="6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418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329.2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Количество зон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Количество зон обнаружения варьируется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 зависимости от модели металлодетектора серии ИМПУЛЬС. Более высокое количество зон обеспечивает детальное сканирование и точное определение местоположения металлических предметов, что особенно важно на объектах с повышенными требованиями к безопасности.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  <w:t xml:space="preserve">Арочные металлодетекторы серии ИМПУЛЬС сочетают в себе передовые технологии, надежность и простоту интеграции, обеспечивая высокий уровень безопасности на различных объектах.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7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  <w:t xml:space="preserve">Возможность расширения</w:t>
      </w:r>
      <w:r>
        <w:rPr>
          <w:rFonts w:ascii="Open Sans" w:hAnsi="Open Sans" w:eastAsia="Times New Roman" w:cs="Open Sans"/>
          <w:b/>
          <w:bCs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Арочные металлодетекторы БЛОКПОСТ серии ИМПУЛЬС поддерживают возможность изменения ширины прохода в зависимости от требований объекта. Конструкция позволяет расширять рамку металлодетектора до 760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мм, 880 мм и 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8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3"/>
    <w:basedOn w:val="621"/>
    <w:link w:val="62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3" w:default="1">
    <w:name w:val="Default Paragraph Font"/>
    <w:uiPriority w:val="1"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Heading 3 Char"/>
    <w:basedOn w:val="623"/>
    <w:link w:val="62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7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1b8/wddz8r7jyhwvb43e4mz3zm392x9hvdip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fbe/aojei21u8or57zp7iikrumgzk2k6g8vq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653/6xz0kh17p461ah46z7stoqt9ahb95nbz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44c/qhr7kqatlou52r57368p6tjuv0jw21oh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da9/hce88yipwxq10dn9eywjh2w5szjmc4cx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e5/asy0wfoc4ycyvr3kgufv4pq62yv2jdvg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a4e/qe2vtbnwtqkgf8cy1xahcmbtu6rx2mh3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8d7/u8tagxjhawi9tgmodsy50skcomqc1d0y.jpg" TargetMode="External"/><Relationship Id="rId24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Мокроусова</dc:creator>
  <cp:keywords/>
  <dc:description/>
  <cp:lastModifiedBy>Степан Ларионов</cp:lastModifiedBy>
  <cp:revision>20</cp:revision>
  <dcterms:created xsi:type="dcterms:W3CDTF">2023-10-26T06:35:00Z</dcterms:created>
  <dcterms:modified xsi:type="dcterms:W3CDTF">2025-09-03T10:39:30Z</dcterms:modified>
</cp:coreProperties>
</file>