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EA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D"/>
        <w:spacing w:before="0" w:beforeAutospacing="0" w:after="300" w:afterAutospacing="0" w:line="330" w:lineRule="atLeast"/>
        <w:ind w:left="0" w:right="0" w:firstLine="0"/>
        <w:jc w:val="left"/>
        <w:rPr>
          <w:rFonts w:ascii="Century Gothic" w:hAnsi="Century Gothic" w:eastAsia="Century Gothic" w:cs="Century Gothic"/>
          <w:i w:val="0"/>
          <w:iCs w:val="0"/>
          <w:caps w:val="0"/>
          <w:color w:val="0F142C"/>
          <w:spacing w:val="0"/>
          <w:sz w:val="24"/>
          <w:szCs w:val="24"/>
        </w:rPr>
      </w:pPr>
      <w:r>
        <w:rPr>
          <w:rFonts w:hint="default" w:ascii="Century Gothic" w:hAnsi="Century Gothic" w:eastAsia="Century Gothic" w:cs="Century Gothic"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t>Распашные турникеты предназначены для организации проходных с повышенными требованиями к дизайну и комфортабельности прохода. РСП 800 С – достаточно компактная модель с высокой проходимостью, которая подойдет для применения в интенсивных условиях эксплуатации. Турникет РСП 800 С – это преграждающая конструкция, имеющая створки, которые закреплены на вертикальных валиках и могут распахиваться как в одну сторону, так и в другую. Распашной турникет оборудован функцией «Антипаника». Эта функция автоматически освобождает проход в экстренных случаях или при сбое электропитания, также она может быть активирована с пульта ДУ.</w:t>
      </w: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br w:type="textWrapping"/>
      </w: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br w:type="textWrapping"/>
      </w:r>
      <w:r>
        <w:rPr>
          <w:rFonts w:hint="default" w:ascii="Century Gothic" w:hAnsi="Century Gothic" w:eastAsia="Century Gothic" w:cs="Century Gothic"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t>Конструкция турникета предполагает подключение к оборудованию другого назначения: арочным металлодетекторам, монопанелям с односторонним или двусторонним детектированием, системе пожарной безопасности и др. При подключении исполнительного устройства к стороннему оборудованию других производителей обеспечивается корректная работа всей пропускной системы.</w:t>
      </w: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br w:type="textWrapping"/>
      </w: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br w:type="textWrapping"/>
      </w:r>
      <w:r>
        <w:rPr>
          <w:rFonts w:hint="default" w:ascii="Century Gothic" w:hAnsi="Century Gothic" w:eastAsia="Century Gothic" w:cs="Century Gothic"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t>Работу проходной можно дополнить всевозможными модулями СКУД: биометрическими идентификаторами, сканерами, считывателями, картоприемниками и пр.⁠</w:t>
      </w:r>
    </w:p>
    <w:p w14:paraId="12B8B5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90" w:lineRule="atLeast"/>
        <w:ind w:left="0" w:right="0"/>
        <w:rPr>
          <w:rFonts w:hint="default" w:ascii="Century Gothic" w:hAnsi="Century Gothic" w:eastAsia="Century Gothic" w:cs="Century Gothic"/>
          <w:b/>
          <w:bCs/>
          <w:color w:val="0F142C"/>
          <w:sz w:val="30"/>
          <w:szCs w:val="30"/>
        </w:rPr>
      </w:pP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sz w:val="30"/>
          <w:szCs w:val="30"/>
          <w:bdr w:val="none" w:color="auto" w:sz="0" w:space="0"/>
          <w:shd w:val="clear" w:fill="FBFBFD"/>
        </w:rPr>
        <w:t>Габариты и эксплуатация турникета</w:t>
      </w:r>
    </w:p>
    <w:p w14:paraId="46E0F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D"/>
        <w:spacing w:before="0" w:beforeAutospacing="0" w:after="300" w:afterAutospacing="0" w:line="330" w:lineRule="atLeast"/>
        <w:ind w:left="0" w:right="0" w:firstLine="0"/>
        <w:jc w:val="left"/>
        <w:rPr>
          <w:rFonts w:hint="default" w:ascii="Century Gothic" w:hAnsi="Century Gothic" w:eastAsia="Century Gothic" w:cs="Century Gothic"/>
          <w:i w:val="0"/>
          <w:iCs w:val="0"/>
          <w:caps w:val="0"/>
          <w:color w:val="0F142C"/>
          <w:spacing w:val="0"/>
          <w:sz w:val="24"/>
          <w:szCs w:val="24"/>
        </w:rPr>
      </w:pPr>
      <w:r>
        <w:rPr>
          <w:rFonts w:hint="default" w:ascii="Century Gothic" w:hAnsi="Century Gothic" w:eastAsia="Century Gothic" w:cs="Century Gothic"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t>Распашной РСП 800 С предназначен для использования внутри помещения. Также его можно использовать на улице, создав условия непрямого воздействия атмосферных осадков и при рекомендуемой температуре воздуха от -20 до +60°С. Турникет изготовлен из нержавеющей стали AISI 304, а створки ограждения – из акрилового стекла толщиной 7 мм. При использовании РСП 800 С следует располагать параллельно друг другу в один ряд. Расстояние между тумбами турникета составляет 650 мм.</w:t>
      </w:r>
    </w:p>
    <w:p w14:paraId="146391F4">
      <w:pPr>
        <w:keepNext w:val="0"/>
        <w:keepLines w:val="0"/>
        <w:widowControl/>
        <w:suppressLineNumbers w:val="0"/>
        <w:pBdr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pBdr>
        <w:shd w:val="clear" w:fill="FBFBFD"/>
        <w:spacing w:before="0" w:beforeAutospacing="0" w:after="0" w:afterAutospacing="0"/>
        <w:ind w:left="0" w:right="0" w:firstLine="0"/>
        <w:jc w:val="left"/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sz w:val="27"/>
          <w:szCs w:val="27"/>
        </w:rPr>
      </w:pP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BFBFD"/>
        </w:rPr>
        <w:drawing>
          <wp:inline distT="0" distB="0" distL="114300" distR="114300">
            <wp:extent cx="5257800" cy="5257800"/>
            <wp:effectExtent l="0" t="0" r="0" b="0"/>
            <wp:docPr id="51" name="Изображение 57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Изображение 5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A49A9C">
      <w:pPr>
        <w:keepNext w:val="0"/>
        <w:keepLines w:val="0"/>
        <w:widowControl/>
        <w:suppressLineNumbers w:val="0"/>
        <w:pBdr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pBdr>
        <w:shd w:val="clear" w:fill="FBFBFD"/>
        <w:spacing w:before="0" w:beforeAutospacing="0" w:after="0" w:afterAutospacing="0"/>
        <w:ind w:left="0" w:right="0" w:firstLine="0"/>
        <w:jc w:val="left"/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sz w:val="27"/>
          <w:szCs w:val="27"/>
        </w:rPr>
      </w:pP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BFBFD"/>
        </w:rPr>
        <w:drawing>
          <wp:inline distT="0" distB="0" distL="114300" distR="114300">
            <wp:extent cx="5271770" cy="5271770"/>
            <wp:effectExtent l="0" t="0" r="5080" b="5080"/>
            <wp:docPr id="54" name="Изображение 58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Изображение 58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2116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90" w:lineRule="atLeast"/>
        <w:ind w:left="0" w:right="0"/>
        <w:rPr>
          <w:rFonts w:hint="default" w:ascii="Century Gothic" w:hAnsi="Century Gothic" w:eastAsia="Century Gothic" w:cs="Century Gothic"/>
          <w:b/>
          <w:bCs/>
          <w:color w:val="0F142C"/>
          <w:sz w:val="30"/>
          <w:szCs w:val="30"/>
        </w:rPr>
      </w:pP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sz w:val="30"/>
          <w:szCs w:val="30"/>
          <w:bdr w:val="none" w:color="auto" w:sz="0" w:space="0"/>
          <w:shd w:val="clear" w:fill="FBFBFD"/>
        </w:rPr>
        <w:t>Интеграция в систему контроля доступа</w:t>
      </w:r>
    </w:p>
    <w:p w14:paraId="73146A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D"/>
        <w:spacing w:before="0" w:beforeAutospacing="0" w:after="300" w:afterAutospacing="0" w:line="330" w:lineRule="atLeast"/>
        <w:ind w:left="0" w:right="0" w:firstLine="0"/>
        <w:jc w:val="left"/>
        <w:rPr>
          <w:rFonts w:hint="default" w:ascii="Century Gothic" w:hAnsi="Century Gothic" w:eastAsia="Century Gothic" w:cs="Century Gothic"/>
          <w:i w:val="0"/>
          <w:iCs w:val="0"/>
          <w:caps w:val="0"/>
          <w:color w:val="0F142C"/>
          <w:spacing w:val="0"/>
          <w:sz w:val="24"/>
          <w:szCs w:val="24"/>
        </w:rPr>
      </w:pPr>
      <w:r>
        <w:rPr>
          <w:rFonts w:hint="default" w:ascii="Century Gothic" w:hAnsi="Century Gothic" w:eastAsia="Century Gothic" w:cs="Century Gothic"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t>Интеграция оборудования возможна благодаря реле для управления устройствами (сухие контакты). К исполнительному устройству можно подключить стороннее оборудование: металлодетекторы, систему пожарной безопасности и др. Также обеспечивается исправная работа при интеграции с устройствами других производителей. Интеграция турникета через сухие контакты способствует налаженной работе всего оборудования. В случаях проноса запрещенного предмета на охраняемую территорию поступает сигнал турникету с устройства, которое зафиксировало нарушение, и исполнительный механизм автоматически блокирует проход. При срабатывании сигнала пожарной тревоги или сбое электропитания включается функция разблокировки выхода «Антипаника». Эта функция автоматически реагирует в экстренных случаях и открывает створки для свободного передвижения людей. Также она может быть активирована с пульта ДУ.</w:t>
      </w: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br w:type="textWrapping"/>
      </w: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br w:type="textWrapping"/>
      </w:r>
      <w:r>
        <w:rPr>
          <w:rFonts w:hint="default" w:ascii="Century Gothic" w:hAnsi="Century Gothic" w:eastAsia="Century Gothic" w:cs="Century Gothic"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t>Базовая комплектация распашного турникета РСП 800 С включает в себя два электронных картосчитывателя. Турникет РСП 800 С можно дополнить устройствами идентификации: биометрические СКУД, картоприёмники, сканеры штрих-кода и пр.</w:t>
      </w:r>
    </w:p>
    <w:p w14:paraId="00CEBEFB">
      <w:pPr>
        <w:keepNext w:val="0"/>
        <w:keepLines w:val="0"/>
        <w:widowControl/>
        <w:suppressLineNumbers w:val="0"/>
        <w:pBdr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pBdr>
        <w:shd w:val="clear" w:fill="FBFBFD"/>
        <w:spacing w:before="0" w:beforeAutospacing="0" w:after="0" w:afterAutospacing="0"/>
        <w:ind w:left="0" w:right="0" w:firstLine="0"/>
        <w:jc w:val="left"/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sz w:val="27"/>
          <w:szCs w:val="27"/>
        </w:rPr>
      </w:pP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BFBFD"/>
        </w:rPr>
        <w:drawing>
          <wp:inline distT="0" distB="0" distL="114300" distR="114300">
            <wp:extent cx="5257800" cy="5257800"/>
            <wp:effectExtent l="0" t="0" r="0" b="0"/>
            <wp:docPr id="55" name="Изображение 59" descr="IMG_25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Изображение 59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874C05">
      <w:pPr>
        <w:keepNext w:val="0"/>
        <w:keepLines w:val="0"/>
        <w:widowControl/>
        <w:suppressLineNumbers w:val="0"/>
        <w:pBdr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pBdr>
        <w:shd w:val="clear" w:fill="FBFBFD"/>
        <w:spacing w:before="0" w:beforeAutospacing="0" w:after="0" w:afterAutospacing="0"/>
        <w:ind w:left="0" w:right="0" w:firstLine="0"/>
        <w:jc w:val="left"/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sz w:val="27"/>
          <w:szCs w:val="27"/>
        </w:rPr>
      </w:pP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BFBFD"/>
        </w:rPr>
        <w:drawing>
          <wp:inline distT="0" distB="0" distL="114300" distR="114300">
            <wp:extent cx="5257800" cy="5257800"/>
            <wp:effectExtent l="0" t="0" r="0" b="0"/>
            <wp:docPr id="52" name="Изображение 60" descr="IMG_2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Изображение 60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7A1E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90" w:lineRule="atLeast"/>
        <w:ind w:left="0" w:right="0"/>
        <w:rPr>
          <w:rFonts w:hint="default" w:ascii="Century Gothic" w:hAnsi="Century Gothic" w:eastAsia="Century Gothic" w:cs="Century Gothic"/>
          <w:b/>
          <w:bCs/>
          <w:color w:val="0F142C"/>
          <w:sz w:val="30"/>
          <w:szCs w:val="30"/>
        </w:rPr>
      </w:pP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sz w:val="30"/>
          <w:szCs w:val="30"/>
          <w:bdr w:val="none" w:color="auto" w:sz="0" w:space="0"/>
          <w:shd w:val="clear" w:fill="FBFBFD"/>
        </w:rPr>
        <w:t>Хранение и транспортировка</w:t>
      </w:r>
    </w:p>
    <w:p w14:paraId="4F966C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D"/>
        <w:spacing w:before="0" w:beforeAutospacing="0" w:after="0" w:afterAutospacing="0" w:line="330" w:lineRule="atLeast"/>
        <w:ind w:left="0" w:right="0" w:firstLine="0"/>
        <w:jc w:val="left"/>
        <w:rPr>
          <w:rFonts w:hint="default" w:ascii="Century Gothic" w:hAnsi="Century Gothic" w:eastAsia="Century Gothic" w:cs="Century Gothic"/>
          <w:i w:val="0"/>
          <w:iCs w:val="0"/>
          <w:caps w:val="0"/>
          <w:color w:val="0F142C"/>
          <w:spacing w:val="0"/>
          <w:sz w:val="24"/>
          <w:szCs w:val="24"/>
        </w:rPr>
      </w:pPr>
      <w:r>
        <w:rPr>
          <w:rFonts w:hint="default" w:ascii="Century Gothic" w:hAnsi="Century Gothic" w:eastAsia="Century Gothic" w:cs="Century Gothic"/>
          <w:i w:val="0"/>
          <w:iCs w:val="0"/>
          <w:caps w:val="0"/>
          <w:color w:val="0F142C"/>
          <w:spacing w:val="0"/>
          <w:kern w:val="0"/>
          <w:sz w:val="24"/>
          <w:szCs w:val="24"/>
          <w:bdr w:val="none" w:color="auto" w:sz="0" w:space="0"/>
          <w:shd w:val="clear" w:fill="FBFBFD"/>
          <w:lang w:val="en-US" w:eastAsia="zh-CN" w:bidi="ar"/>
        </w:rPr>
        <w:t>Деревянная упаковка турникета имеет надежные крепления. Она предохраняет устройство от различных повреждений, а также от прямого воздействия атмосферных осадков. Перевозку турникетов можно осуществлять в гермокабинах самолетов, автомобильным и железнодорожным транспортом. Согласно правилам перевозки, хранения и эксплуатации грузов, следует предохранить оборудование от прямого воздействия влаги, пыли и различных атмосферных осадков.</w:t>
      </w:r>
    </w:p>
    <w:p w14:paraId="7C8B0C58">
      <w:pPr>
        <w:keepNext w:val="0"/>
        <w:keepLines w:val="0"/>
        <w:widowControl/>
        <w:suppressLineNumbers w:val="0"/>
        <w:pBdr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pBdr>
        <w:shd w:val="clear" w:fill="FBFBFD"/>
        <w:spacing w:before="0" w:beforeAutospacing="0" w:after="0" w:afterAutospacing="0"/>
        <w:ind w:left="0" w:right="0" w:firstLine="0"/>
        <w:jc w:val="left"/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0F142C"/>
          <w:spacing w:val="0"/>
          <w:sz w:val="27"/>
          <w:szCs w:val="27"/>
        </w:rPr>
      </w:pPr>
      <w:r>
        <w:rPr>
          <w:rFonts w:hint="default" w:ascii="Century Gothic" w:hAnsi="Century Gothic" w:eastAsia="Century Gothic" w:cs="Century Gothic"/>
          <w:b/>
          <w:bCs/>
          <w:i w:val="0"/>
          <w:iCs w:val="0"/>
          <w:caps w:val="0"/>
          <w:color w:val="auto"/>
          <w:spacing w:val="0"/>
          <w:sz w:val="27"/>
          <w:szCs w:val="27"/>
          <w:u w:val="none"/>
          <w:bdr w:val="none" w:color="auto" w:sz="0" w:space="0"/>
          <w:shd w:val="clear" w:fill="FBFBFD"/>
        </w:rPr>
        <w:drawing>
          <wp:inline distT="0" distB="0" distL="114300" distR="114300">
            <wp:extent cx="5257800" cy="5257800"/>
            <wp:effectExtent l="0" t="0" r="0" b="0"/>
            <wp:docPr id="53" name="Изображение 61" descr="IMG_26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Изображение 61" descr="IMG_2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C6921D">
      <w:pPr>
        <w:rPr>
          <w:rFonts w:hint="default" w:ascii="Franklin Gothic Book" w:hAnsi="Franklin Gothic Book" w:cs="Franklin Gothic Book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272A2"/>
    <w:rsid w:val="22E201F3"/>
    <w:rsid w:val="3B352B9D"/>
    <w:rsid w:val="402B766F"/>
    <w:rsid w:val="48EB7098"/>
    <w:rsid w:val="4930518A"/>
    <w:rsid w:val="689E1934"/>
    <w:rsid w:val="70F2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s://detektor-rf.ru/upload/grain.tables/ad0/s9zdksx9oarngoalayemfevgdl0dt9wc.jpg" TargetMode="External"/><Relationship Id="rId7" Type="http://schemas.openxmlformats.org/officeDocument/2006/relationships/image" Target="media/image2.jpeg"/><Relationship Id="rId6" Type="http://schemas.openxmlformats.org/officeDocument/2006/relationships/hyperlink" Target="https://detektor-rf.ru/upload/grain.tables/69e/epn1n7khp7bzw2r2wvncswoz05ld26c4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detektor-rf.ru/upload/grain.tables/367/k0rsr6wb54dkd6kk41qmxbvyvikpa7vt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5.jpeg"/><Relationship Id="rId12" Type="http://schemas.openxmlformats.org/officeDocument/2006/relationships/hyperlink" Target="https://detektor-rf.ru/upload/grain.tables/3f1/metxwstdlgqwo12t3cr1hrnegz4jr3zf.jpg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s://detektor-rf.ru/upload/grain.tables/66c/5camh6bmwutq6ulr5jdzuz8dw0er7c3b.jp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2025-05-14T06:25:00Z</dcterms:created>
  <dc:creator>nvlun</dc:creator>
  <cp:lastModifiedBy>nvlun</cp:lastModifiedBy>
  <dcterms:modified xsi:type="dcterms:W3CDTF">2025-05-14T08:10:45Z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1049-12.2.0.20796</vt:lpwstr>
  </property>
  <property fmtid="{D5CDD505-2E9C-101B-9397-08002B2CF9AE}" pid="3" name="ICV">
    <vt:lpwstr>18B45197F4C542BAB984FC2F41A2565F_13</vt:lpwstr>
  </property>
</Properties>
</file>